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DB6DD" w14:textId="3CC0E8BE" w:rsidR="003A571D" w:rsidRPr="008E3EA0" w:rsidRDefault="003A571D" w:rsidP="00145DF3">
      <w:pPr>
        <w:jc w:val="center"/>
        <w:rPr>
          <w:rFonts w:eastAsia="Times New Roman" w:cstheme="minorHAnsi"/>
          <w:b/>
          <w:color w:val="000000"/>
          <w:sz w:val="32"/>
        </w:rPr>
      </w:pPr>
      <w:bookmarkStart w:id="0" w:name="_GoBack"/>
      <w:bookmarkEnd w:id="0"/>
      <w:r w:rsidRPr="008E3EA0">
        <w:rPr>
          <w:rFonts w:eastAsia="Times New Roman" w:cstheme="minorHAnsi"/>
          <w:b/>
          <w:color w:val="000000"/>
          <w:sz w:val="32"/>
        </w:rPr>
        <w:t>Preceptor Development Module</w:t>
      </w:r>
      <w:r w:rsidR="00145DF3" w:rsidRPr="008E3EA0">
        <w:rPr>
          <w:rFonts w:eastAsia="Times New Roman" w:cstheme="minorHAnsi"/>
          <w:b/>
          <w:color w:val="000000"/>
          <w:sz w:val="32"/>
        </w:rPr>
        <w:t xml:space="preserve"> 1</w:t>
      </w:r>
      <w:r w:rsidR="008E3EA0" w:rsidRPr="008E3EA0">
        <w:rPr>
          <w:rFonts w:eastAsia="Times New Roman" w:cstheme="minorHAnsi"/>
          <w:b/>
          <w:color w:val="000000"/>
          <w:sz w:val="32"/>
        </w:rPr>
        <w:t>:</w:t>
      </w:r>
    </w:p>
    <w:p w14:paraId="5EE60FE4" w14:textId="369B6177" w:rsidR="00FD48CA" w:rsidRPr="008E3EA0" w:rsidRDefault="00FD48CA" w:rsidP="00145DF3">
      <w:pPr>
        <w:jc w:val="center"/>
        <w:rPr>
          <w:rFonts w:eastAsia="Times New Roman" w:cstheme="minorHAnsi"/>
          <w:b/>
          <w:color w:val="000000"/>
          <w:sz w:val="28"/>
        </w:rPr>
      </w:pPr>
      <w:r w:rsidRPr="008E3EA0">
        <w:rPr>
          <w:rFonts w:eastAsia="Times New Roman" w:cstheme="minorHAnsi"/>
          <w:b/>
          <w:color w:val="000000"/>
          <w:sz w:val="28"/>
        </w:rPr>
        <w:t xml:space="preserve">Clinical Judgment Model </w:t>
      </w:r>
      <w:r w:rsidR="001B0F00" w:rsidRPr="008E3EA0">
        <w:rPr>
          <w:rFonts w:eastAsia="Times New Roman" w:cstheme="minorHAnsi"/>
          <w:b/>
          <w:color w:val="000000"/>
          <w:sz w:val="28"/>
        </w:rPr>
        <w:t xml:space="preserve">(CJM) </w:t>
      </w:r>
      <w:r w:rsidRPr="008E3EA0">
        <w:rPr>
          <w:rFonts w:eastAsia="Times New Roman" w:cstheme="minorHAnsi"/>
          <w:b/>
          <w:color w:val="000000"/>
          <w:sz w:val="28"/>
        </w:rPr>
        <w:t>and Reflection</w:t>
      </w:r>
    </w:p>
    <w:p w14:paraId="4D9905FE" w14:textId="0287CCE0" w:rsidR="003A571D" w:rsidRPr="00145DF3" w:rsidRDefault="003A571D" w:rsidP="003A571D">
      <w:pPr>
        <w:rPr>
          <w:rFonts w:eastAsia="Times New Roman" w:cstheme="minorHAnsi"/>
        </w:rPr>
      </w:pPr>
    </w:p>
    <w:p w14:paraId="2ECB5A8F" w14:textId="486F9F3B" w:rsidR="003A571D" w:rsidRPr="00145DF3" w:rsidRDefault="003A571D" w:rsidP="003A571D">
      <w:pPr>
        <w:rPr>
          <w:rFonts w:eastAsia="Times New Roman" w:cstheme="minorHAnsi"/>
        </w:rPr>
      </w:pPr>
    </w:p>
    <w:p w14:paraId="7D3C7C96" w14:textId="5685670E" w:rsidR="00145DF3" w:rsidRPr="00145DF3" w:rsidRDefault="00145DF3" w:rsidP="003A571D">
      <w:pPr>
        <w:rPr>
          <w:rFonts w:eastAsia="Times New Roman" w:cstheme="minorHAnsi"/>
        </w:rPr>
      </w:pPr>
      <w:r w:rsidRPr="00145DF3">
        <w:rPr>
          <w:rFonts w:eastAsia="Times New Roman" w:cstheme="minorHAnsi"/>
        </w:rPr>
        <w:t xml:space="preserve">Module </w:t>
      </w:r>
      <w:r w:rsidR="00152BF1">
        <w:rPr>
          <w:rFonts w:eastAsia="Times New Roman" w:cstheme="minorHAnsi"/>
        </w:rPr>
        <w:t>C</w:t>
      </w:r>
      <w:r w:rsidRPr="00145DF3">
        <w:rPr>
          <w:rFonts w:eastAsia="Times New Roman" w:cstheme="minorHAnsi"/>
        </w:rPr>
        <w:t>omponents:</w:t>
      </w:r>
    </w:p>
    <w:p w14:paraId="206D1CDF" w14:textId="091256DE" w:rsidR="003A571D" w:rsidRPr="00145DF3" w:rsidRDefault="00145DF3" w:rsidP="00145DF3">
      <w:pPr>
        <w:pStyle w:val="ListParagraph"/>
        <w:numPr>
          <w:ilvl w:val="0"/>
          <w:numId w:val="1"/>
        </w:numPr>
        <w:rPr>
          <w:rFonts w:eastAsia="Times New Roman" w:cstheme="minorHAnsi"/>
          <w:color w:val="000000"/>
        </w:rPr>
      </w:pPr>
      <w:r w:rsidRPr="00145DF3">
        <w:rPr>
          <w:rFonts w:eastAsia="Times New Roman" w:cstheme="minorHAnsi"/>
          <w:color w:val="000000"/>
        </w:rPr>
        <w:t xml:space="preserve">Didactic module on YouTube: </w:t>
      </w:r>
    </w:p>
    <w:p w14:paraId="7918DCB7" w14:textId="16CF8895" w:rsidR="001B0F00" w:rsidRPr="00145DF3" w:rsidRDefault="00145DF3" w:rsidP="003A571D">
      <w:pPr>
        <w:rPr>
          <w:rStyle w:val="Hyperlink"/>
          <w:rFonts w:cstheme="minorHAnsi"/>
        </w:rPr>
      </w:pPr>
      <w:r w:rsidRPr="00145DF3">
        <w:rPr>
          <w:rFonts w:cstheme="minorHAnsi"/>
        </w:rPr>
        <w:tab/>
      </w:r>
      <w:hyperlink r:id="rId5" w:history="1">
        <w:r w:rsidR="001B0F00" w:rsidRPr="00145DF3">
          <w:rPr>
            <w:rStyle w:val="Hyperlink"/>
            <w:rFonts w:cstheme="minorHAnsi"/>
          </w:rPr>
          <w:t>https://www.youtube.com/watch?v=m1oVwiRmN8c&amp;t=781s</w:t>
        </w:r>
      </w:hyperlink>
    </w:p>
    <w:p w14:paraId="2CB00203" w14:textId="7A411AE0" w:rsidR="00145DF3" w:rsidRPr="00145DF3" w:rsidRDefault="00145DF3" w:rsidP="00145DF3">
      <w:pPr>
        <w:pStyle w:val="ListParagraph"/>
        <w:numPr>
          <w:ilvl w:val="0"/>
          <w:numId w:val="1"/>
        </w:numPr>
        <w:rPr>
          <w:rFonts w:eastAsia="Times New Roman" w:cstheme="minorHAnsi"/>
        </w:rPr>
      </w:pPr>
      <w:r w:rsidRPr="00145DF3">
        <w:rPr>
          <w:rFonts w:eastAsia="Times New Roman" w:cstheme="minorHAnsi"/>
        </w:rPr>
        <w:t xml:space="preserve">Viewing the didactic module will take approximately 20 minutes. </w:t>
      </w:r>
    </w:p>
    <w:p w14:paraId="74F0E86C" w14:textId="77777777" w:rsidR="003A571D" w:rsidRPr="00145DF3" w:rsidRDefault="003A571D" w:rsidP="003A571D">
      <w:pPr>
        <w:rPr>
          <w:rFonts w:eastAsia="Times New Roman" w:cstheme="minorHAnsi"/>
        </w:rPr>
      </w:pPr>
    </w:p>
    <w:p w14:paraId="16CBDC7A" w14:textId="07082259" w:rsidR="003A571D" w:rsidRPr="00145DF3" w:rsidRDefault="00145DF3" w:rsidP="00145DF3">
      <w:pPr>
        <w:pStyle w:val="ListParagraph"/>
        <w:numPr>
          <w:ilvl w:val="0"/>
          <w:numId w:val="2"/>
        </w:numPr>
        <w:rPr>
          <w:rFonts w:eastAsia="Times New Roman" w:cstheme="minorHAnsi"/>
          <w:color w:val="000000"/>
        </w:rPr>
      </w:pPr>
      <w:r w:rsidRPr="00145DF3">
        <w:rPr>
          <w:rFonts w:eastAsia="Times New Roman" w:cstheme="minorHAnsi"/>
          <w:color w:val="000000"/>
        </w:rPr>
        <w:t xml:space="preserve">2 </w:t>
      </w:r>
      <w:r w:rsidR="0003525D" w:rsidRPr="00145DF3">
        <w:rPr>
          <w:rFonts w:eastAsia="Times New Roman" w:cstheme="minorHAnsi"/>
          <w:color w:val="000000"/>
        </w:rPr>
        <w:t>articles about Clinical Judgment Model</w:t>
      </w:r>
      <w:r w:rsidRPr="00145DF3">
        <w:rPr>
          <w:rFonts w:eastAsia="Times New Roman" w:cstheme="minorHAnsi"/>
          <w:color w:val="000000"/>
        </w:rPr>
        <w:t>*</w:t>
      </w:r>
    </w:p>
    <w:p w14:paraId="2C4967FB" w14:textId="41FBA64B" w:rsidR="0003525D" w:rsidRPr="00145DF3" w:rsidRDefault="0003525D" w:rsidP="00145DF3">
      <w:pPr>
        <w:pStyle w:val="ListParagraph"/>
        <w:numPr>
          <w:ilvl w:val="1"/>
          <w:numId w:val="2"/>
        </w:numPr>
        <w:rPr>
          <w:rFonts w:cstheme="minorHAnsi"/>
        </w:rPr>
      </w:pPr>
      <w:r w:rsidRPr="00145DF3">
        <w:rPr>
          <w:rFonts w:cstheme="minorHAnsi"/>
        </w:rPr>
        <w:t>Tanner CA. (2006). Thinking like a nurse: a research-based model of clinical judgment in nursing. </w:t>
      </w:r>
      <w:r w:rsidRPr="00145DF3">
        <w:rPr>
          <w:rFonts w:cstheme="minorHAnsi"/>
          <w:i/>
        </w:rPr>
        <w:t>Journal of Nursing Education, 45</w:t>
      </w:r>
      <w:r w:rsidRPr="00145DF3">
        <w:rPr>
          <w:rFonts w:cstheme="minorHAnsi"/>
        </w:rPr>
        <w:t>(6), 204–211.</w:t>
      </w:r>
    </w:p>
    <w:p w14:paraId="67E48CEB" w14:textId="09E2E57A" w:rsidR="0003525D" w:rsidRPr="00145DF3" w:rsidRDefault="0003525D" w:rsidP="0003525D">
      <w:pPr>
        <w:pStyle w:val="ListParagraph"/>
        <w:numPr>
          <w:ilvl w:val="1"/>
          <w:numId w:val="2"/>
        </w:numPr>
        <w:rPr>
          <w:rFonts w:cstheme="minorHAnsi"/>
        </w:rPr>
      </w:pPr>
      <w:r w:rsidRPr="00145DF3">
        <w:rPr>
          <w:rFonts w:cstheme="minorHAnsi"/>
        </w:rPr>
        <w:t xml:space="preserve">Lusk Monagle, J., Lasater, K., </w:t>
      </w:r>
      <w:proofErr w:type="spellStart"/>
      <w:r w:rsidRPr="00145DF3">
        <w:rPr>
          <w:rFonts w:cstheme="minorHAnsi"/>
        </w:rPr>
        <w:t>Stoyles</w:t>
      </w:r>
      <w:proofErr w:type="spellEnd"/>
      <w:r w:rsidRPr="00145DF3">
        <w:rPr>
          <w:rFonts w:cstheme="minorHAnsi"/>
        </w:rPr>
        <w:t xml:space="preserve">, S., &amp; </w:t>
      </w:r>
      <w:proofErr w:type="spellStart"/>
      <w:r w:rsidRPr="00145DF3">
        <w:rPr>
          <w:rFonts w:cstheme="minorHAnsi"/>
        </w:rPr>
        <w:t>Dieckmann</w:t>
      </w:r>
      <w:proofErr w:type="spellEnd"/>
      <w:r w:rsidRPr="00145DF3">
        <w:rPr>
          <w:rFonts w:cstheme="minorHAnsi"/>
        </w:rPr>
        <w:t>, N. (2018). New Graduate Nurse Experiences in Clinical Judgment: What Academic and Practice Educators Need to Know. </w:t>
      </w:r>
      <w:r w:rsidRPr="00145DF3">
        <w:rPr>
          <w:rFonts w:cstheme="minorHAnsi"/>
          <w:i/>
          <w:iCs/>
        </w:rPr>
        <w:t>Nursing Education Perspectives</w:t>
      </w:r>
      <w:r w:rsidRPr="00145DF3">
        <w:rPr>
          <w:rFonts w:cstheme="minorHAnsi"/>
        </w:rPr>
        <w:t>, </w:t>
      </w:r>
      <w:r w:rsidRPr="00145DF3">
        <w:rPr>
          <w:rFonts w:cstheme="minorHAnsi"/>
          <w:i/>
          <w:iCs/>
        </w:rPr>
        <w:t>39</w:t>
      </w:r>
      <w:r w:rsidRPr="00145DF3">
        <w:rPr>
          <w:rFonts w:cstheme="minorHAnsi"/>
        </w:rPr>
        <w:t>(4), 201–207. https://doi.org/10.1097/01.NEP.0000000000000336</w:t>
      </w:r>
    </w:p>
    <w:p w14:paraId="0A03C4C5" w14:textId="77777777" w:rsidR="003A571D" w:rsidRPr="00145DF3" w:rsidRDefault="003A571D" w:rsidP="003A571D">
      <w:pPr>
        <w:rPr>
          <w:rFonts w:eastAsia="Times New Roman" w:cstheme="minorHAnsi"/>
        </w:rPr>
      </w:pPr>
    </w:p>
    <w:p w14:paraId="2BDA1073" w14:textId="7ECB747E" w:rsidR="0003525D" w:rsidRPr="00145DF3" w:rsidRDefault="00145DF3" w:rsidP="00145DF3">
      <w:pPr>
        <w:pStyle w:val="ListParagraph"/>
        <w:numPr>
          <w:ilvl w:val="0"/>
          <w:numId w:val="2"/>
        </w:numPr>
        <w:rPr>
          <w:rFonts w:eastAsia="Times New Roman" w:cstheme="minorHAnsi"/>
          <w:color w:val="000000"/>
        </w:rPr>
      </w:pPr>
      <w:r w:rsidRPr="00145DF3">
        <w:rPr>
          <w:rFonts w:eastAsia="Times New Roman" w:cstheme="minorHAnsi"/>
          <w:color w:val="000000"/>
        </w:rPr>
        <w:t>2</w:t>
      </w:r>
      <w:r w:rsidR="003A571D" w:rsidRPr="00145DF3">
        <w:rPr>
          <w:rFonts w:eastAsia="Times New Roman" w:cstheme="minorHAnsi"/>
          <w:color w:val="000000"/>
        </w:rPr>
        <w:t xml:space="preserve"> </w:t>
      </w:r>
      <w:r w:rsidR="003717AB">
        <w:rPr>
          <w:rFonts w:eastAsia="Times New Roman" w:cstheme="minorHAnsi"/>
          <w:color w:val="000000"/>
        </w:rPr>
        <w:t>guides for developing critical thinking among preceptees (</w:t>
      </w:r>
      <w:r w:rsidR="0003525D" w:rsidRPr="00145DF3">
        <w:rPr>
          <w:rFonts w:eastAsia="Times New Roman" w:cstheme="minorHAnsi"/>
          <w:color w:val="000000"/>
        </w:rPr>
        <w:t>cheat sheets</w:t>
      </w:r>
      <w:r w:rsidR="003717AB">
        <w:rPr>
          <w:rFonts w:eastAsia="Times New Roman" w:cstheme="minorHAnsi"/>
          <w:color w:val="000000"/>
        </w:rPr>
        <w:t>)</w:t>
      </w:r>
      <w:r w:rsidR="0003525D" w:rsidRPr="00145DF3">
        <w:rPr>
          <w:rFonts w:eastAsia="Times New Roman" w:cstheme="minorHAnsi"/>
          <w:color w:val="000000"/>
        </w:rPr>
        <w:t xml:space="preserve">:  </w:t>
      </w:r>
    </w:p>
    <w:p w14:paraId="080D732C" w14:textId="557CC1A2" w:rsidR="00145DF3" w:rsidRPr="00145DF3" w:rsidRDefault="0003525D" w:rsidP="003A571D">
      <w:pPr>
        <w:pStyle w:val="ListParagraph"/>
        <w:numPr>
          <w:ilvl w:val="1"/>
          <w:numId w:val="2"/>
        </w:numPr>
        <w:rPr>
          <w:rFonts w:eastAsia="Times New Roman" w:cstheme="minorHAnsi"/>
          <w:color w:val="000000"/>
        </w:rPr>
      </w:pPr>
      <w:r w:rsidRPr="00145DF3">
        <w:rPr>
          <w:rFonts w:eastAsia="Times New Roman" w:cstheme="minorHAnsi"/>
          <w:color w:val="000000"/>
        </w:rPr>
        <w:t xml:space="preserve">Questions to guide the preceptor </w:t>
      </w:r>
      <w:r w:rsidR="00C95881">
        <w:rPr>
          <w:rFonts w:eastAsia="Times New Roman" w:cstheme="minorHAnsi"/>
          <w:color w:val="000000"/>
        </w:rPr>
        <w:t>in using</w:t>
      </w:r>
      <w:r w:rsidRPr="00145DF3">
        <w:rPr>
          <w:rFonts w:eastAsia="Times New Roman" w:cstheme="minorHAnsi"/>
          <w:color w:val="000000"/>
        </w:rPr>
        <w:t xml:space="preserve"> the CJM</w:t>
      </w:r>
      <w:r w:rsidR="00C95881">
        <w:rPr>
          <w:rFonts w:eastAsia="Times New Roman" w:cstheme="minorHAnsi"/>
          <w:color w:val="000000"/>
        </w:rPr>
        <w:t xml:space="preserve"> to promote the development of critical thinking among preceptees.</w:t>
      </w:r>
    </w:p>
    <w:p w14:paraId="25D5F609" w14:textId="00038125" w:rsidR="003A571D" w:rsidRPr="00145DF3" w:rsidRDefault="00C95881" w:rsidP="003A571D">
      <w:pPr>
        <w:pStyle w:val="ListParagraph"/>
        <w:numPr>
          <w:ilvl w:val="1"/>
          <w:numId w:val="2"/>
        </w:numPr>
        <w:rPr>
          <w:rFonts w:eastAsia="Times New Roman" w:cstheme="minorHAnsi"/>
          <w:color w:val="000000"/>
        </w:rPr>
      </w:pPr>
      <w:r>
        <w:rPr>
          <w:rFonts w:eastAsia="Times New Roman" w:cstheme="minorHAnsi"/>
          <w:color w:val="000000"/>
        </w:rPr>
        <w:t>U</w:t>
      </w:r>
      <w:r w:rsidR="0003525D" w:rsidRPr="00145DF3">
        <w:rPr>
          <w:rFonts w:eastAsia="Times New Roman" w:cstheme="minorHAnsi"/>
          <w:color w:val="000000"/>
        </w:rPr>
        <w:t>sing the Ladder of Inference</w:t>
      </w:r>
    </w:p>
    <w:p w14:paraId="3B9DB6EF" w14:textId="77777777" w:rsidR="000D15A5" w:rsidRPr="00145DF3" w:rsidRDefault="000D15A5" w:rsidP="003A571D">
      <w:pPr>
        <w:rPr>
          <w:rFonts w:eastAsia="Times New Roman" w:cstheme="minorHAnsi"/>
        </w:rPr>
      </w:pPr>
    </w:p>
    <w:p w14:paraId="0B273977" w14:textId="77777777" w:rsidR="000D15A5" w:rsidRPr="00145DF3" w:rsidRDefault="000D15A5" w:rsidP="000D15A5">
      <w:pPr>
        <w:rPr>
          <w:rFonts w:cstheme="minorHAnsi"/>
        </w:rPr>
      </w:pPr>
      <w:r w:rsidRPr="00145DF3">
        <w:rPr>
          <w:rFonts w:cstheme="minorHAnsi"/>
        </w:rPr>
        <w:t>*Articles are to be utilized at the point of care and only for educational purposes which are free.  Where possible author(s) should be cited. Do not copy and distribute freely as this would be a violation of copyright law.</w:t>
      </w:r>
    </w:p>
    <w:p w14:paraId="3DB2693D" w14:textId="77777777" w:rsidR="00D26C68" w:rsidRPr="00145DF3" w:rsidRDefault="00CF200E">
      <w:pPr>
        <w:rPr>
          <w:rFonts w:cstheme="minorHAnsi"/>
        </w:rPr>
      </w:pPr>
    </w:p>
    <w:sectPr w:rsidR="00D26C68" w:rsidRPr="00145DF3" w:rsidSect="006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2264"/>
    <w:multiLevelType w:val="hybridMultilevel"/>
    <w:tmpl w:val="935E1CBC"/>
    <w:lvl w:ilvl="0" w:tplc="F8E40B7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7F67"/>
    <w:multiLevelType w:val="hybridMultilevel"/>
    <w:tmpl w:val="5D60ACC8"/>
    <w:lvl w:ilvl="0" w:tplc="F8E40B7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MzO1MDOzNLY0M7ZU0lEKTi0uzszPAykwqgUAtN254SwAAAA="/>
  </w:docVars>
  <w:rsids>
    <w:rsidRoot w:val="003A571D"/>
    <w:rsid w:val="0003525D"/>
    <w:rsid w:val="000641D6"/>
    <w:rsid w:val="000D15A5"/>
    <w:rsid w:val="00145DF3"/>
    <w:rsid w:val="00152BF1"/>
    <w:rsid w:val="001B0F00"/>
    <w:rsid w:val="0035344A"/>
    <w:rsid w:val="003717AB"/>
    <w:rsid w:val="003A571D"/>
    <w:rsid w:val="00417B0C"/>
    <w:rsid w:val="006F385F"/>
    <w:rsid w:val="008E3EA0"/>
    <w:rsid w:val="00B70885"/>
    <w:rsid w:val="00C95881"/>
    <w:rsid w:val="00CF200E"/>
    <w:rsid w:val="00FA2791"/>
    <w:rsid w:val="00FD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E2DA"/>
  <w14:defaultImageDpi w14:val="32767"/>
  <w15:chartTrackingRefBased/>
  <w15:docId w15:val="{BCEF9ED6-7FEE-164B-9532-4DB60297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71D"/>
    <w:rPr>
      <w:color w:val="0000FF"/>
      <w:u w:val="single"/>
    </w:rPr>
  </w:style>
  <w:style w:type="character" w:styleId="FollowedHyperlink">
    <w:name w:val="FollowedHyperlink"/>
    <w:basedOn w:val="DefaultParagraphFont"/>
    <w:uiPriority w:val="99"/>
    <w:semiHidden/>
    <w:unhideWhenUsed/>
    <w:rsid w:val="00145DF3"/>
    <w:rPr>
      <w:color w:val="954F72" w:themeColor="followedHyperlink"/>
      <w:u w:val="single"/>
    </w:rPr>
  </w:style>
  <w:style w:type="paragraph" w:styleId="ListParagraph">
    <w:name w:val="List Paragraph"/>
    <w:basedOn w:val="Normal"/>
    <w:uiPriority w:val="34"/>
    <w:qFormat/>
    <w:rsid w:val="0014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8445">
      <w:bodyDiv w:val="1"/>
      <w:marLeft w:val="0"/>
      <w:marRight w:val="0"/>
      <w:marTop w:val="0"/>
      <w:marBottom w:val="0"/>
      <w:divBdr>
        <w:top w:val="none" w:sz="0" w:space="0" w:color="auto"/>
        <w:left w:val="none" w:sz="0" w:space="0" w:color="auto"/>
        <w:bottom w:val="none" w:sz="0" w:space="0" w:color="auto"/>
        <w:right w:val="none" w:sz="0" w:space="0" w:color="auto"/>
      </w:divBdr>
      <w:divsChild>
        <w:div w:id="62875147">
          <w:marLeft w:val="0"/>
          <w:marRight w:val="0"/>
          <w:marTop w:val="0"/>
          <w:marBottom w:val="0"/>
          <w:divBdr>
            <w:top w:val="none" w:sz="0" w:space="0" w:color="auto"/>
            <w:left w:val="none" w:sz="0" w:space="0" w:color="auto"/>
            <w:bottom w:val="none" w:sz="0" w:space="0" w:color="auto"/>
            <w:right w:val="none" w:sz="0" w:space="0" w:color="auto"/>
          </w:divBdr>
        </w:div>
        <w:div w:id="1587763918">
          <w:marLeft w:val="0"/>
          <w:marRight w:val="0"/>
          <w:marTop w:val="0"/>
          <w:marBottom w:val="0"/>
          <w:divBdr>
            <w:top w:val="none" w:sz="0" w:space="0" w:color="auto"/>
            <w:left w:val="none" w:sz="0" w:space="0" w:color="auto"/>
            <w:bottom w:val="none" w:sz="0" w:space="0" w:color="auto"/>
            <w:right w:val="none" w:sz="0" w:space="0" w:color="auto"/>
          </w:divBdr>
        </w:div>
        <w:div w:id="840318349">
          <w:marLeft w:val="0"/>
          <w:marRight w:val="0"/>
          <w:marTop w:val="0"/>
          <w:marBottom w:val="0"/>
          <w:divBdr>
            <w:top w:val="none" w:sz="0" w:space="0" w:color="auto"/>
            <w:left w:val="none" w:sz="0" w:space="0" w:color="auto"/>
            <w:bottom w:val="none" w:sz="0" w:space="0" w:color="auto"/>
            <w:right w:val="none" w:sz="0" w:space="0" w:color="auto"/>
          </w:divBdr>
        </w:div>
        <w:div w:id="1831485005">
          <w:marLeft w:val="0"/>
          <w:marRight w:val="0"/>
          <w:marTop w:val="0"/>
          <w:marBottom w:val="0"/>
          <w:divBdr>
            <w:top w:val="none" w:sz="0" w:space="0" w:color="auto"/>
            <w:left w:val="none" w:sz="0" w:space="0" w:color="auto"/>
            <w:bottom w:val="none" w:sz="0" w:space="0" w:color="auto"/>
            <w:right w:val="none" w:sz="0" w:space="0" w:color="auto"/>
          </w:divBdr>
        </w:div>
        <w:div w:id="572664246">
          <w:marLeft w:val="0"/>
          <w:marRight w:val="0"/>
          <w:marTop w:val="0"/>
          <w:marBottom w:val="0"/>
          <w:divBdr>
            <w:top w:val="none" w:sz="0" w:space="0" w:color="auto"/>
            <w:left w:val="none" w:sz="0" w:space="0" w:color="auto"/>
            <w:bottom w:val="none" w:sz="0" w:space="0" w:color="auto"/>
            <w:right w:val="none" w:sz="0" w:space="0" w:color="auto"/>
          </w:divBdr>
        </w:div>
        <w:div w:id="987058285">
          <w:marLeft w:val="0"/>
          <w:marRight w:val="0"/>
          <w:marTop w:val="0"/>
          <w:marBottom w:val="0"/>
          <w:divBdr>
            <w:top w:val="none" w:sz="0" w:space="0" w:color="auto"/>
            <w:left w:val="none" w:sz="0" w:space="0" w:color="auto"/>
            <w:bottom w:val="none" w:sz="0" w:space="0" w:color="auto"/>
            <w:right w:val="none" w:sz="0" w:space="0" w:color="auto"/>
          </w:divBdr>
        </w:div>
        <w:div w:id="1953630704">
          <w:marLeft w:val="0"/>
          <w:marRight w:val="0"/>
          <w:marTop w:val="0"/>
          <w:marBottom w:val="0"/>
          <w:divBdr>
            <w:top w:val="none" w:sz="0" w:space="0" w:color="auto"/>
            <w:left w:val="none" w:sz="0" w:space="0" w:color="auto"/>
            <w:bottom w:val="none" w:sz="0" w:space="0" w:color="auto"/>
            <w:right w:val="none" w:sz="0" w:space="0" w:color="auto"/>
          </w:divBdr>
        </w:div>
        <w:div w:id="128110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1oVwiRmN8c&amp;t=78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Waddell</dc:creator>
  <cp:keywords/>
  <dc:description/>
  <cp:lastModifiedBy>Priscilla Almeida</cp:lastModifiedBy>
  <cp:revision>2</cp:revision>
  <dcterms:created xsi:type="dcterms:W3CDTF">2020-06-19T16:30:00Z</dcterms:created>
  <dcterms:modified xsi:type="dcterms:W3CDTF">2020-06-19T16:30:00Z</dcterms:modified>
</cp:coreProperties>
</file>