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41D60" w14:textId="77777777" w:rsidR="00141090" w:rsidRDefault="00C05D6D" w:rsidP="00C05D6D">
      <w:pPr>
        <w:jc w:val="center"/>
        <w:rPr>
          <w:rFonts w:eastAsia="Times New Roman" w:cstheme="minorHAnsi"/>
          <w:b/>
          <w:color w:val="000000"/>
          <w:sz w:val="28"/>
        </w:rPr>
      </w:pPr>
      <w:bookmarkStart w:id="0" w:name="_GoBack"/>
      <w:bookmarkEnd w:id="0"/>
      <w:r w:rsidRPr="00141090">
        <w:rPr>
          <w:rFonts w:eastAsia="Times New Roman" w:cstheme="minorHAnsi"/>
          <w:b/>
          <w:color w:val="000000"/>
          <w:sz w:val="32"/>
        </w:rPr>
        <w:t xml:space="preserve">Preceptor </w:t>
      </w:r>
      <w:r w:rsidR="00E440AD" w:rsidRPr="00141090">
        <w:rPr>
          <w:rFonts w:eastAsia="Times New Roman" w:cstheme="minorHAnsi"/>
          <w:b/>
          <w:color w:val="000000"/>
          <w:sz w:val="32"/>
        </w:rPr>
        <w:t xml:space="preserve">Development </w:t>
      </w:r>
      <w:r w:rsidRPr="00141090">
        <w:rPr>
          <w:rFonts w:eastAsia="Times New Roman" w:cstheme="minorHAnsi"/>
          <w:b/>
          <w:color w:val="000000"/>
          <w:sz w:val="32"/>
        </w:rPr>
        <w:t>Module 2</w:t>
      </w:r>
      <w:r w:rsidR="00141090" w:rsidRPr="00141090">
        <w:rPr>
          <w:rFonts w:eastAsia="Times New Roman" w:cstheme="minorHAnsi"/>
          <w:b/>
          <w:color w:val="000000"/>
          <w:sz w:val="32"/>
        </w:rPr>
        <w:t xml:space="preserve">: </w:t>
      </w:r>
    </w:p>
    <w:p w14:paraId="6F79EE26" w14:textId="57C31FF7" w:rsidR="00C05D6D" w:rsidRPr="0031796D" w:rsidRDefault="00141090" w:rsidP="00C05D6D">
      <w:pPr>
        <w:jc w:val="center"/>
        <w:rPr>
          <w:rFonts w:eastAsia="Times New Roman" w:cstheme="minorHAnsi"/>
          <w:b/>
          <w:color w:val="000000"/>
          <w:sz w:val="28"/>
        </w:rPr>
      </w:pPr>
      <w:r>
        <w:rPr>
          <w:rFonts w:eastAsia="Times New Roman" w:cstheme="minorHAnsi"/>
          <w:b/>
          <w:color w:val="000000"/>
          <w:sz w:val="28"/>
        </w:rPr>
        <w:t>Clinical Judgment Continued</w:t>
      </w:r>
    </w:p>
    <w:p w14:paraId="33B21F2B" w14:textId="77777777" w:rsidR="00C05D6D" w:rsidRPr="00E440AD" w:rsidRDefault="00C05D6D" w:rsidP="00C05D6D">
      <w:pPr>
        <w:rPr>
          <w:rFonts w:eastAsia="Times New Roman" w:cstheme="minorHAnsi"/>
          <w:color w:val="000000"/>
        </w:rPr>
      </w:pPr>
    </w:p>
    <w:p w14:paraId="034B8138" w14:textId="2A9ED123" w:rsidR="00C05D6D" w:rsidRPr="00E440AD" w:rsidRDefault="00E440AD" w:rsidP="00C05D6D">
      <w:pPr>
        <w:rPr>
          <w:rFonts w:eastAsia="Times New Roman" w:cstheme="minorHAnsi"/>
          <w:color w:val="000000"/>
        </w:rPr>
      </w:pPr>
      <w:r>
        <w:rPr>
          <w:rFonts w:eastAsia="Times New Roman" w:cstheme="minorHAnsi"/>
          <w:color w:val="000000"/>
        </w:rPr>
        <w:t>Module Components:</w:t>
      </w:r>
    </w:p>
    <w:p w14:paraId="2948D0FF" w14:textId="465AFA42" w:rsidR="00C05D6D" w:rsidRPr="00E440AD" w:rsidRDefault="00E440AD" w:rsidP="00C05D6D">
      <w:pPr>
        <w:pStyle w:val="ListParagraph"/>
        <w:numPr>
          <w:ilvl w:val="0"/>
          <w:numId w:val="6"/>
        </w:numPr>
        <w:rPr>
          <w:rFonts w:eastAsia="Times New Roman" w:cstheme="minorHAnsi"/>
        </w:rPr>
      </w:pPr>
      <w:r>
        <w:rPr>
          <w:rFonts w:eastAsia="Times New Roman" w:cstheme="minorHAnsi"/>
          <w:color w:val="000000"/>
        </w:rPr>
        <w:t>Didactic module on</w:t>
      </w:r>
      <w:r w:rsidR="00C05D6D" w:rsidRPr="00E440AD">
        <w:rPr>
          <w:rFonts w:eastAsia="Times New Roman" w:cstheme="minorHAnsi"/>
          <w:color w:val="000000"/>
        </w:rPr>
        <w:t xml:space="preserve"> YouTube:</w:t>
      </w:r>
      <w:r>
        <w:rPr>
          <w:rFonts w:eastAsia="Times New Roman" w:cstheme="minorHAnsi"/>
          <w:color w:val="000000"/>
        </w:rPr>
        <w:t xml:space="preserve"> </w:t>
      </w:r>
      <w:hyperlink r:id="rId5" w:tgtFrame="_blank" w:history="1">
        <w:r w:rsidR="00C05D6D" w:rsidRPr="00E440AD">
          <w:rPr>
            <w:rFonts w:eastAsia="Times New Roman" w:cstheme="minorHAnsi"/>
            <w:color w:val="0000FF"/>
            <w:u w:val="single"/>
          </w:rPr>
          <w:t>https://www.youtube.com/watch?v=0ypPfD2DtvA</w:t>
        </w:r>
      </w:hyperlink>
    </w:p>
    <w:p w14:paraId="24970565" w14:textId="14889919" w:rsidR="00DF4507" w:rsidRDefault="00DF4507" w:rsidP="00EE6BE7">
      <w:pPr>
        <w:pStyle w:val="ListParagraph"/>
        <w:numPr>
          <w:ilvl w:val="0"/>
          <w:numId w:val="6"/>
        </w:numPr>
        <w:rPr>
          <w:rFonts w:eastAsia="Times New Roman" w:cstheme="minorHAnsi"/>
          <w:color w:val="000000"/>
        </w:rPr>
      </w:pPr>
      <w:r>
        <w:rPr>
          <w:rFonts w:eastAsia="Times New Roman" w:cstheme="minorHAnsi"/>
          <w:color w:val="000000"/>
        </w:rPr>
        <w:t>Viewing this didactic module will take just less than 10 minutes</w:t>
      </w:r>
    </w:p>
    <w:p w14:paraId="57660562" w14:textId="77777777" w:rsidR="00DF4507" w:rsidRPr="00DF4507" w:rsidRDefault="00DF4507" w:rsidP="00DF4507">
      <w:pPr>
        <w:rPr>
          <w:rFonts w:eastAsia="Times New Roman" w:cstheme="minorHAnsi"/>
          <w:color w:val="000000"/>
        </w:rPr>
      </w:pPr>
    </w:p>
    <w:p w14:paraId="12BD021D" w14:textId="5DFBEBEF" w:rsidR="00EE6BE7" w:rsidRDefault="00C05D6D" w:rsidP="00EE6BE7">
      <w:pPr>
        <w:pStyle w:val="ListParagraph"/>
        <w:numPr>
          <w:ilvl w:val="0"/>
          <w:numId w:val="6"/>
        </w:numPr>
        <w:rPr>
          <w:rFonts w:eastAsia="Times New Roman" w:cstheme="minorHAnsi"/>
          <w:color w:val="000000"/>
        </w:rPr>
      </w:pPr>
      <w:r w:rsidRPr="00E440AD">
        <w:rPr>
          <w:rFonts w:eastAsia="Times New Roman" w:cstheme="minorHAnsi"/>
          <w:color w:val="000000"/>
        </w:rPr>
        <w:t>2 case studies (one a non-nursing and a nursing one) for preceptors to practice utilizing the CJM</w:t>
      </w:r>
      <w:r w:rsidR="00E440AD" w:rsidRPr="00E440AD">
        <w:rPr>
          <w:rFonts w:eastAsia="Times New Roman" w:cstheme="minorHAnsi"/>
          <w:color w:val="000000"/>
        </w:rPr>
        <w:t xml:space="preserve"> m</w:t>
      </w:r>
      <w:r w:rsidRPr="00E440AD">
        <w:rPr>
          <w:rFonts w:eastAsia="Times New Roman" w:cstheme="minorHAnsi"/>
          <w:color w:val="000000"/>
        </w:rPr>
        <w:t>odel.</w:t>
      </w:r>
    </w:p>
    <w:p w14:paraId="487B6180" w14:textId="77777777" w:rsidR="00EE6BE7" w:rsidRDefault="007104C3" w:rsidP="000F5709">
      <w:pPr>
        <w:pStyle w:val="ListParagraph"/>
        <w:numPr>
          <w:ilvl w:val="1"/>
          <w:numId w:val="8"/>
        </w:numPr>
        <w:rPr>
          <w:rFonts w:eastAsia="Times New Roman" w:cstheme="minorHAnsi"/>
          <w:color w:val="000000"/>
        </w:rPr>
      </w:pPr>
      <w:r w:rsidRPr="00EE6BE7">
        <w:rPr>
          <w:rFonts w:eastAsia="Times New Roman" w:cstheme="minorHAnsi"/>
        </w:rPr>
        <w:t>GI Case Study</w:t>
      </w:r>
    </w:p>
    <w:p w14:paraId="693B6813" w14:textId="2E533094" w:rsidR="007104C3" w:rsidRPr="00EE6BE7" w:rsidRDefault="007104C3" w:rsidP="000F5709">
      <w:pPr>
        <w:pStyle w:val="ListParagraph"/>
        <w:numPr>
          <w:ilvl w:val="1"/>
          <w:numId w:val="8"/>
        </w:numPr>
        <w:rPr>
          <w:rFonts w:eastAsia="Times New Roman" w:cstheme="minorHAnsi"/>
          <w:color w:val="000000"/>
        </w:rPr>
      </w:pPr>
      <w:r w:rsidRPr="00EE6BE7">
        <w:rPr>
          <w:rFonts w:eastAsia="Times New Roman" w:cstheme="minorHAnsi"/>
        </w:rPr>
        <w:t>Veteran Teacher (non-nursing)</w:t>
      </w:r>
    </w:p>
    <w:p w14:paraId="1693DED5" w14:textId="77777777" w:rsidR="00EE6BE7" w:rsidRDefault="00EE6BE7" w:rsidP="00C05D6D">
      <w:pPr>
        <w:rPr>
          <w:rFonts w:eastAsia="Times New Roman" w:cstheme="minorHAnsi"/>
          <w:color w:val="000000"/>
        </w:rPr>
      </w:pPr>
    </w:p>
    <w:p w14:paraId="594F432B" w14:textId="78EDD90C" w:rsidR="00EE6BE7" w:rsidRDefault="00C634EB" w:rsidP="00EE6BE7">
      <w:pPr>
        <w:pStyle w:val="ListParagraph"/>
        <w:numPr>
          <w:ilvl w:val="0"/>
          <w:numId w:val="7"/>
        </w:numPr>
        <w:rPr>
          <w:rFonts w:eastAsia="Times New Roman" w:cstheme="minorHAnsi"/>
          <w:color w:val="000000"/>
        </w:rPr>
      </w:pPr>
      <w:r>
        <w:rPr>
          <w:rFonts w:eastAsia="Times New Roman" w:cstheme="minorHAnsi"/>
          <w:color w:val="000000"/>
        </w:rPr>
        <w:t>1 a</w:t>
      </w:r>
      <w:r w:rsidR="00C05D6D" w:rsidRPr="00EE6BE7">
        <w:rPr>
          <w:rFonts w:eastAsia="Times New Roman" w:cstheme="minorHAnsi"/>
          <w:color w:val="000000"/>
        </w:rPr>
        <w:t>rticle about how to plan for structured reflection</w:t>
      </w:r>
    </w:p>
    <w:p w14:paraId="75FC2FC7" w14:textId="5AAA23BC" w:rsidR="00EE6BE7" w:rsidRPr="00EE6BE7" w:rsidRDefault="007104C3" w:rsidP="00C05D6D">
      <w:pPr>
        <w:pStyle w:val="ListParagraph"/>
        <w:numPr>
          <w:ilvl w:val="1"/>
          <w:numId w:val="7"/>
        </w:numPr>
        <w:rPr>
          <w:rFonts w:eastAsia="Times New Roman" w:cstheme="minorHAnsi"/>
          <w:color w:val="000000"/>
        </w:rPr>
      </w:pPr>
      <w:r w:rsidRPr="00EE6BE7">
        <w:rPr>
          <w:rFonts w:cstheme="minorHAnsi"/>
        </w:rPr>
        <w:t>Baker</w:t>
      </w:r>
      <w:r w:rsidR="00EB033A">
        <w:rPr>
          <w:rFonts w:cstheme="minorHAnsi"/>
        </w:rPr>
        <w:t>,</w:t>
      </w:r>
      <w:r w:rsidRPr="00EE6BE7">
        <w:rPr>
          <w:rFonts w:cstheme="minorHAnsi"/>
        </w:rPr>
        <w:t xml:space="preserve"> C</w:t>
      </w:r>
      <w:r w:rsidR="00EB033A">
        <w:rPr>
          <w:rFonts w:cstheme="minorHAnsi"/>
        </w:rPr>
        <w:t>.</w:t>
      </w:r>
      <w:r w:rsidRPr="00EE6BE7">
        <w:rPr>
          <w:rFonts w:cstheme="minorHAnsi"/>
        </w:rPr>
        <w:t>R.</w:t>
      </w:r>
      <w:r w:rsidR="00EB033A">
        <w:rPr>
          <w:rFonts w:cstheme="minorHAnsi"/>
        </w:rPr>
        <w:t>,</w:t>
      </w:r>
      <w:r w:rsidRPr="00EE6BE7">
        <w:rPr>
          <w:rFonts w:cstheme="minorHAnsi"/>
        </w:rPr>
        <w:t xml:space="preserve"> (1996). Reflective learning: a teaching strategy for critical thinking. Journal of Nursing Education, 35(1), 19–22.</w:t>
      </w:r>
    </w:p>
    <w:p w14:paraId="68C7CED2" w14:textId="129CBBA2" w:rsidR="00EE6BE7" w:rsidRDefault="00C634EB" w:rsidP="00EE6BE7">
      <w:pPr>
        <w:pStyle w:val="ListParagraph"/>
        <w:numPr>
          <w:ilvl w:val="0"/>
          <w:numId w:val="7"/>
        </w:numPr>
        <w:rPr>
          <w:rFonts w:eastAsia="Times New Roman" w:cstheme="minorHAnsi"/>
          <w:color w:val="000000"/>
        </w:rPr>
      </w:pPr>
      <w:r>
        <w:rPr>
          <w:rFonts w:eastAsia="Times New Roman" w:cstheme="minorHAnsi"/>
          <w:color w:val="000000"/>
        </w:rPr>
        <w:t>2</w:t>
      </w:r>
      <w:r w:rsidR="00EE6BE7">
        <w:rPr>
          <w:rFonts w:eastAsia="Times New Roman" w:cstheme="minorHAnsi"/>
          <w:color w:val="000000"/>
        </w:rPr>
        <w:t xml:space="preserve"> </w:t>
      </w:r>
      <w:r w:rsidR="00C05D6D" w:rsidRPr="00EE6BE7">
        <w:rPr>
          <w:rFonts w:eastAsia="Times New Roman" w:cstheme="minorHAnsi"/>
          <w:color w:val="000000"/>
        </w:rPr>
        <w:t>articles about precepting</w:t>
      </w:r>
    </w:p>
    <w:p w14:paraId="0A1D8E95" w14:textId="77777777" w:rsidR="00EE6BE7" w:rsidRDefault="007104C3" w:rsidP="00EE6BE7">
      <w:pPr>
        <w:pStyle w:val="ListParagraph"/>
        <w:numPr>
          <w:ilvl w:val="1"/>
          <w:numId w:val="7"/>
        </w:numPr>
        <w:rPr>
          <w:rFonts w:eastAsia="Times New Roman" w:cstheme="minorHAnsi"/>
          <w:color w:val="000000"/>
        </w:rPr>
      </w:pPr>
      <w:r w:rsidRPr="00EE6BE7">
        <w:rPr>
          <w:rFonts w:cstheme="minorHAnsi"/>
        </w:rPr>
        <w:t xml:space="preserve">Brook, J., Aitken, L. M., Webb, R., </w:t>
      </w:r>
      <w:proofErr w:type="spellStart"/>
      <w:r w:rsidRPr="00EE6BE7">
        <w:rPr>
          <w:rFonts w:cstheme="minorHAnsi"/>
        </w:rPr>
        <w:t>MacLaren</w:t>
      </w:r>
      <w:proofErr w:type="spellEnd"/>
      <w:r w:rsidRPr="00EE6BE7">
        <w:rPr>
          <w:rFonts w:cstheme="minorHAnsi"/>
        </w:rPr>
        <w:t>, J., &amp; Salmon, D. (2018). Characteristics of successful interventions to reduce turnover and increase retention of early career nurses: a systematic review. International Journal of Nursing Studies, 91, 47-59.</w:t>
      </w:r>
    </w:p>
    <w:p w14:paraId="3623F536" w14:textId="677EE4D4" w:rsidR="000E148C" w:rsidRPr="00EE6BE7" w:rsidRDefault="007104C3" w:rsidP="00EE6BE7">
      <w:pPr>
        <w:pStyle w:val="ListParagraph"/>
        <w:numPr>
          <w:ilvl w:val="1"/>
          <w:numId w:val="7"/>
        </w:numPr>
        <w:rPr>
          <w:rFonts w:eastAsia="Times New Roman" w:cstheme="minorHAnsi"/>
          <w:color w:val="000000"/>
        </w:rPr>
      </w:pPr>
      <w:proofErr w:type="spellStart"/>
      <w:r w:rsidRPr="00EE6BE7">
        <w:rPr>
          <w:rFonts w:cstheme="minorHAnsi"/>
        </w:rPr>
        <w:t>Blegen</w:t>
      </w:r>
      <w:proofErr w:type="spellEnd"/>
      <w:r w:rsidRPr="00EE6BE7">
        <w:rPr>
          <w:rFonts w:cstheme="minorHAnsi"/>
        </w:rPr>
        <w:t xml:space="preserve">, M. A., Spector, N., Ulrich, B. T., Lynn, M. R., </w:t>
      </w:r>
      <w:proofErr w:type="spellStart"/>
      <w:r w:rsidRPr="00EE6BE7">
        <w:rPr>
          <w:rFonts w:cstheme="minorHAnsi"/>
        </w:rPr>
        <w:t>Barnsteiner</w:t>
      </w:r>
      <w:proofErr w:type="spellEnd"/>
      <w:r w:rsidRPr="00EE6BE7">
        <w:rPr>
          <w:rFonts w:cstheme="minorHAnsi"/>
        </w:rPr>
        <w:t xml:space="preserve">, J., &amp; Silvestre, J. (2015). Preceptor Support in Hospital Transition to Practice Programs. The Journal of Nursing Administration, 45(12), 642–649. </w:t>
      </w:r>
      <w:hyperlink r:id="rId6" w:history="1">
        <w:r w:rsidR="000E148C" w:rsidRPr="00EE6BE7">
          <w:rPr>
            <w:rStyle w:val="Hyperlink"/>
            <w:rFonts w:cstheme="minorHAnsi"/>
          </w:rPr>
          <w:t>https://doi.org/10.1097/NNA.0000000000000278</w:t>
        </w:r>
      </w:hyperlink>
    </w:p>
    <w:p w14:paraId="7200D1EF" w14:textId="77777777" w:rsidR="000E148C" w:rsidRPr="00E440AD" w:rsidRDefault="000E148C" w:rsidP="000E148C">
      <w:pPr>
        <w:pStyle w:val="ListParagraph"/>
        <w:ind w:left="-630"/>
        <w:rPr>
          <w:rFonts w:cstheme="minorHAnsi"/>
        </w:rPr>
      </w:pPr>
    </w:p>
    <w:p w14:paraId="3B8D52A5" w14:textId="65DD332A" w:rsidR="000E148C" w:rsidRPr="00E440AD" w:rsidRDefault="000E148C" w:rsidP="00E440AD">
      <w:pPr>
        <w:pStyle w:val="ListParagraph"/>
        <w:ind w:left="0"/>
        <w:rPr>
          <w:rFonts w:cstheme="minorHAnsi"/>
        </w:rPr>
      </w:pPr>
      <w:r w:rsidRPr="00E440AD">
        <w:rPr>
          <w:rFonts w:cstheme="minorHAnsi"/>
        </w:rPr>
        <w:t>*Articles are to be utilized at the point of care and only for educational purposes which are free.  Where possible author(s) should be cited. Do not copy and distribute freely as this would be a violation of copyright law.</w:t>
      </w:r>
    </w:p>
    <w:p w14:paraId="716993D7" w14:textId="77777777" w:rsidR="00D26C68" w:rsidRPr="00E440AD" w:rsidRDefault="006759A7">
      <w:pPr>
        <w:rPr>
          <w:rFonts w:cstheme="minorHAnsi"/>
        </w:rPr>
      </w:pPr>
    </w:p>
    <w:sectPr w:rsidR="00D26C68" w:rsidRPr="00E440AD" w:rsidSect="006F3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9121A"/>
    <w:multiLevelType w:val="hybridMultilevel"/>
    <w:tmpl w:val="567E819A"/>
    <w:lvl w:ilvl="0" w:tplc="F8E40B7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32929"/>
    <w:multiLevelType w:val="hybridMultilevel"/>
    <w:tmpl w:val="882463B8"/>
    <w:lvl w:ilvl="0" w:tplc="86DC4CB8">
      <w:start w:val="1"/>
      <w:numFmt w:val="decimal"/>
      <w:lvlText w:val="%1."/>
      <w:lvlJc w:val="left"/>
      <w:pPr>
        <w:ind w:left="1080" w:hanging="360"/>
      </w:pPr>
      <w:rPr>
        <w:rFonts w:ascii="Georgia" w:hAnsi="Georg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E72FE1"/>
    <w:multiLevelType w:val="hybridMultilevel"/>
    <w:tmpl w:val="15666814"/>
    <w:lvl w:ilvl="0" w:tplc="FD820E90">
      <w:start w:val="1"/>
      <w:numFmt w:val="decimal"/>
      <w:lvlText w:val="%1."/>
      <w:lvlJc w:val="left"/>
      <w:pPr>
        <w:ind w:left="1080" w:hanging="360"/>
      </w:pPr>
      <w:rPr>
        <w:rFonts w:ascii="Georgia" w:hAnsi="Georg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73445F"/>
    <w:multiLevelType w:val="hybridMultilevel"/>
    <w:tmpl w:val="441C3BCC"/>
    <w:lvl w:ilvl="0" w:tplc="F8E40B76">
      <w:start w:val="1"/>
      <w:numFmt w:val="bullet"/>
      <w:lvlText w:val="•"/>
      <w:lvlJc w:val="left"/>
      <w:pPr>
        <w:ind w:left="720" w:hanging="360"/>
      </w:pPr>
      <w:rPr>
        <w:rFonts w:ascii="Arial" w:hAnsi="Arial" w:hint="default"/>
      </w:rPr>
    </w:lvl>
    <w:lvl w:ilvl="1" w:tplc="F8E40B7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C4639"/>
    <w:multiLevelType w:val="hybridMultilevel"/>
    <w:tmpl w:val="172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03935"/>
    <w:multiLevelType w:val="hybridMultilevel"/>
    <w:tmpl w:val="8DD222FC"/>
    <w:lvl w:ilvl="0" w:tplc="6BB45CE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D71FC7"/>
    <w:multiLevelType w:val="hybridMultilevel"/>
    <w:tmpl w:val="53CC385E"/>
    <w:lvl w:ilvl="0" w:tplc="F8E40B76">
      <w:start w:val="1"/>
      <w:numFmt w:val="bullet"/>
      <w:lvlText w:val="•"/>
      <w:lvlJc w:val="left"/>
      <w:pPr>
        <w:ind w:left="720" w:hanging="360"/>
      </w:pPr>
      <w:rPr>
        <w:rFonts w:ascii="Arial" w:hAnsi="Arial" w:hint="default"/>
      </w:rPr>
    </w:lvl>
    <w:lvl w:ilvl="1" w:tplc="F8E40B7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31E21"/>
    <w:multiLevelType w:val="hybridMultilevel"/>
    <w:tmpl w:val="75B4DB66"/>
    <w:lvl w:ilvl="0" w:tplc="6BDA1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7"/>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2Mzc2NjE0NzAyNjBT0lEKTi0uzszPAykwqgUAF2zfliwAAAA="/>
  </w:docVars>
  <w:rsids>
    <w:rsidRoot w:val="00C05D6D"/>
    <w:rsid w:val="000641D6"/>
    <w:rsid w:val="000E148C"/>
    <w:rsid w:val="000F5709"/>
    <w:rsid w:val="00141090"/>
    <w:rsid w:val="0031796D"/>
    <w:rsid w:val="00417B0C"/>
    <w:rsid w:val="004820EC"/>
    <w:rsid w:val="006759A7"/>
    <w:rsid w:val="006F385F"/>
    <w:rsid w:val="007104C3"/>
    <w:rsid w:val="00B70885"/>
    <w:rsid w:val="00C05D6D"/>
    <w:rsid w:val="00C634EB"/>
    <w:rsid w:val="00DF4507"/>
    <w:rsid w:val="00E440AD"/>
    <w:rsid w:val="00EB033A"/>
    <w:rsid w:val="00EE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EF11"/>
  <w14:defaultImageDpi w14:val="32767"/>
  <w15:chartTrackingRefBased/>
  <w15:docId w15:val="{0F435A37-1614-AF4E-ADD2-CCE35FB1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D6D"/>
    <w:rPr>
      <w:color w:val="0000FF"/>
      <w:u w:val="single"/>
    </w:rPr>
  </w:style>
  <w:style w:type="paragraph" w:styleId="ListParagraph">
    <w:name w:val="List Paragraph"/>
    <w:basedOn w:val="Normal"/>
    <w:uiPriority w:val="34"/>
    <w:qFormat/>
    <w:rsid w:val="007104C3"/>
    <w:pPr>
      <w:ind w:left="720"/>
      <w:contextualSpacing/>
    </w:pPr>
  </w:style>
  <w:style w:type="character" w:customStyle="1" w:styleId="UnresolvedMention">
    <w:name w:val="Unresolved Mention"/>
    <w:basedOn w:val="DefaultParagraphFont"/>
    <w:uiPriority w:val="99"/>
    <w:rsid w:val="000E1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840860">
      <w:bodyDiv w:val="1"/>
      <w:marLeft w:val="0"/>
      <w:marRight w:val="0"/>
      <w:marTop w:val="0"/>
      <w:marBottom w:val="0"/>
      <w:divBdr>
        <w:top w:val="none" w:sz="0" w:space="0" w:color="auto"/>
        <w:left w:val="none" w:sz="0" w:space="0" w:color="auto"/>
        <w:bottom w:val="none" w:sz="0" w:space="0" w:color="auto"/>
        <w:right w:val="none" w:sz="0" w:space="0" w:color="auto"/>
      </w:divBdr>
      <w:divsChild>
        <w:div w:id="178667287">
          <w:marLeft w:val="0"/>
          <w:marRight w:val="0"/>
          <w:marTop w:val="0"/>
          <w:marBottom w:val="0"/>
          <w:divBdr>
            <w:top w:val="none" w:sz="0" w:space="0" w:color="auto"/>
            <w:left w:val="none" w:sz="0" w:space="0" w:color="auto"/>
            <w:bottom w:val="none" w:sz="0" w:space="0" w:color="auto"/>
            <w:right w:val="none" w:sz="0" w:space="0" w:color="auto"/>
          </w:divBdr>
        </w:div>
        <w:div w:id="1654676418">
          <w:marLeft w:val="0"/>
          <w:marRight w:val="0"/>
          <w:marTop w:val="0"/>
          <w:marBottom w:val="0"/>
          <w:divBdr>
            <w:top w:val="none" w:sz="0" w:space="0" w:color="auto"/>
            <w:left w:val="none" w:sz="0" w:space="0" w:color="auto"/>
            <w:bottom w:val="none" w:sz="0" w:space="0" w:color="auto"/>
            <w:right w:val="none" w:sz="0" w:space="0" w:color="auto"/>
          </w:divBdr>
        </w:div>
        <w:div w:id="1445688047">
          <w:marLeft w:val="0"/>
          <w:marRight w:val="0"/>
          <w:marTop w:val="0"/>
          <w:marBottom w:val="0"/>
          <w:divBdr>
            <w:top w:val="none" w:sz="0" w:space="0" w:color="auto"/>
            <w:left w:val="none" w:sz="0" w:space="0" w:color="auto"/>
            <w:bottom w:val="none" w:sz="0" w:space="0" w:color="auto"/>
            <w:right w:val="none" w:sz="0" w:space="0" w:color="auto"/>
          </w:divBdr>
        </w:div>
        <w:div w:id="1999381496">
          <w:marLeft w:val="0"/>
          <w:marRight w:val="0"/>
          <w:marTop w:val="0"/>
          <w:marBottom w:val="0"/>
          <w:divBdr>
            <w:top w:val="none" w:sz="0" w:space="0" w:color="auto"/>
            <w:left w:val="none" w:sz="0" w:space="0" w:color="auto"/>
            <w:bottom w:val="none" w:sz="0" w:space="0" w:color="auto"/>
            <w:right w:val="none" w:sz="0" w:space="0" w:color="auto"/>
          </w:divBdr>
        </w:div>
        <w:div w:id="211655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7/NNA.0000000000000278" TargetMode="External"/><Relationship Id="rId5" Type="http://schemas.openxmlformats.org/officeDocument/2006/relationships/hyperlink" Target="https://www.youtube.com/watch?v=0ypPfD2Dt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Waddell</dc:creator>
  <cp:keywords/>
  <dc:description/>
  <cp:lastModifiedBy>Priscilla Almeida</cp:lastModifiedBy>
  <cp:revision>2</cp:revision>
  <dcterms:created xsi:type="dcterms:W3CDTF">2020-06-18T16:47:00Z</dcterms:created>
  <dcterms:modified xsi:type="dcterms:W3CDTF">2020-06-18T16:47:00Z</dcterms:modified>
</cp:coreProperties>
</file>